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96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737"/>
      </w:tblGrid>
      <w:tr w:rsidR="0023363A" w:rsidRPr="0058508A" w14:paraId="5D905116" w14:textId="233CAA3E" w:rsidTr="007614E1">
        <w:trPr>
          <w:trHeight w:val="629"/>
        </w:trPr>
        <w:tc>
          <w:tcPr>
            <w:tcW w:w="7938" w:type="dxa"/>
            <w:shd w:val="clear" w:color="auto" w:fill="E2EFD9" w:themeFill="accent6" w:themeFillTint="33"/>
            <w:vAlign w:val="center"/>
          </w:tcPr>
          <w:p w14:paraId="6BE2241D" w14:textId="105C945D" w:rsidR="0023363A" w:rsidRPr="0058508A" w:rsidRDefault="002E687F" w:rsidP="0023363A">
            <w:pPr>
              <w:rPr>
                <w:rFonts w:eastAsia="Arial Unicode MS" w:cs="Arial"/>
                <w:spacing w:val="80"/>
                <w:lang w:val="en-US"/>
              </w:rPr>
            </w:pPr>
            <w:r w:rsidRPr="0058508A">
              <w:rPr>
                <w:rFonts w:eastAsia="Arial Unicode MS" w:cs="Arial"/>
                <w:spacing w:val="80"/>
                <w:lang w:val="en-US"/>
              </w:rPr>
              <w:t>EDITORIAL</w:t>
            </w:r>
          </w:p>
        </w:tc>
        <w:tc>
          <w:tcPr>
            <w:tcW w:w="1737" w:type="dxa"/>
            <w:tcBorders>
              <w:bottom w:val="nil"/>
            </w:tcBorders>
            <w:vAlign w:val="center"/>
          </w:tcPr>
          <w:p w14:paraId="695BC385" w14:textId="4A8BBDBC" w:rsidR="0023363A" w:rsidRPr="0058508A" w:rsidRDefault="0023363A" w:rsidP="0023363A">
            <w:pPr>
              <w:jc w:val="right"/>
              <w:rPr>
                <w:rFonts w:cs="Arial"/>
                <w:lang w:val="en-US"/>
              </w:rPr>
            </w:pPr>
            <w:r w:rsidRPr="0058508A">
              <w:rPr>
                <w:rFonts w:cs="Arial"/>
                <w:noProof/>
                <w:lang w:val="en-US"/>
              </w:rPr>
              <w:drawing>
                <wp:inline distT="0" distB="0" distL="0" distR="0" wp14:anchorId="6DFAB521" wp14:editId="0A7BEF87">
                  <wp:extent cx="899105" cy="358853"/>
                  <wp:effectExtent l="0" t="0" r="0" b="3175"/>
                  <wp:docPr id="2" name="Image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8"/>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899105" cy="358853"/>
                          </a:xfrm>
                          <a:prstGeom prst="rect">
                            <a:avLst/>
                          </a:prstGeom>
                        </pic:spPr>
                      </pic:pic>
                    </a:graphicData>
                  </a:graphic>
                </wp:inline>
              </w:drawing>
            </w:r>
          </w:p>
        </w:tc>
      </w:tr>
    </w:tbl>
    <w:p w14:paraId="04F99482" w14:textId="77777777" w:rsidR="0023363A" w:rsidRPr="0058508A" w:rsidRDefault="0023363A">
      <w:pPr>
        <w:rPr>
          <w:rFonts w:cs="Arial"/>
          <w:lang w:val="en-US"/>
        </w:rPr>
      </w:pPr>
    </w:p>
    <w:p w14:paraId="15DDE151" w14:textId="77777777" w:rsidR="002E687F" w:rsidRPr="0058508A" w:rsidRDefault="002E687F" w:rsidP="000B7E8E">
      <w:pPr>
        <w:spacing w:after="0" w:line="240" w:lineRule="auto"/>
        <w:rPr>
          <w:rFonts w:cs="Arial"/>
          <w:lang w:val="en-US"/>
        </w:rPr>
      </w:pPr>
    </w:p>
    <w:p w14:paraId="079C02EE" w14:textId="77777777" w:rsidR="005A70A4" w:rsidRPr="005A70A4" w:rsidRDefault="005A70A4" w:rsidP="005A70A4">
      <w:pPr>
        <w:spacing w:after="0" w:line="360" w:lineRule="auto"/>
        <w:ind w:left="1134" w:firstLine="851"/>
        <w:jc w:val="both"/>
        <w:rPr>
          <w:rFonts w:cs="Arial"/>
          <w:sz w:val="18"/>
          <w:szCs w:val="18"/>
          <w:lang w:val="en-US"/>
        </w:rPr>
      </w:pPr>
      <w:r w:rsidRPr="005A70A4">
        <w:rPr>
          <w:rFonts w:cs="Arial"/>
          <w:sz w:val="18"/>
          <w:szCs w:val="18"/>
          <w:lang w:val="en-US"/>
        </w:rPr>
        <w:t>It is with great satisfaction and pride that we present Volume 4 of Food Science Today. This release marks a special moment in our journey as we celebrate the second anniversary of the journal, solidifying our role as a platform of excellence dedicated to the dissemination of relevant research and scientific advancements in the vast and dynamic field of food science.</w:t>
      </w:r>
    </w:p>
    <w:p w14:paraId="4CFB75B5" w14:textId="77777777" w:rsidR="005A70A4" w:rsidRPr="005A70A4" w:rsidRDefault="005A70A4" w:rsidP="005A70A4">
      <w:pPr>
        <w:spacing w:after="0" w:line="360" w:lineRule="auto"/>
        <w:ind w:left="1134" w:firstLine="851"/>
        <w:jc w:val="both"/>
        <w:rPr>
          <w:rFonts w:cs="Arial"/>
          <w:sz w:val="18"/>
          <w:szCs w:val="18"/>
          <w:lang w:val="en-US"/>
        </w:rPr>
      </w:pPr>
      <w:r w:rsidRPr="005A70A4">
        <w:rPr>
          <w:rFonts w:cs="Arial"/>
          <w:sz w:val="18"/>
          <w:szCs w:val="18"/>
          <w:lang w:val="en-US"/>
        </w:rPr>
        <w:t>Over the past two years, we have worked tirelessly to connect researchers, academics, and professionals, fostering the exchange of innovative ideas that contribute to scientific development and solutions with a positive societal impact.</w:t>
      </w:r>
    </w:p>
    <w:p w14:paraId="485AF74E" w14:textId="77777777" w:rsidR="005A70A4" w:rsidRPr="005A70A4" w:rsidRDefault="005A70A4" w:rsidP="005A70A4">
      <w:pPr>
        <w:spacing w:after="0" w:line="360" w:lineRule="auto"/>
        <w:ind w:left="1134" w:firstLine="851"/>
        <w:jc w:val="both"/>
        <w:rPr>
          <w:rFonts w:cs="Arial"/>
          <w:sz w:val="18"/>
          <w:szCs w:val="18"/>
          <w:lang w:val="en-US"/>
        </w:rPr>
      </w:pPr>
      <w:r w:rsidRPr="005A70A4">
        <w:rPr>
          <w:rFonts w:cs="Arial"/>
          <w:sz w:val="18"/>
          <w:szCs w:val="18"/>
          <w:lang w:val="en-US"/>
        </w:rPr>
        <w:t>In this volume, you will find articles addressing relevant topics such as sustainability in food processing, the application of innovative technologies in the industry, the analysis of nutritional and functional properties, among other subjects that represent the state of the art in the field. Our goal is not only to disseminate knowledge but also to inspire new research, encourage collaborations across different areas of expertise, and strengthen the global impact of food science.</w:t>
      </w:r>
    </w:p>
    <w:p w14:paraId="59FB4D1A" w14:textId="77777777" w:rsidR="005A70A4" w:rsidRPr="005A70A4" w:rsidRDefault="005A70A4" w:rsidP="005A70A4">
      <w:pPr>
        <w:spacing w:after="0" w:line="360" w:lineRule="auto"/>
        <w:ind w:left="1134" w:firstLine="851"/>
        <w:jc w:val="both"/>
        <w:rPr>
          <w:rFonts w:cs="Arial"/>
          <w:sz w:val="18"/>
          <w:szCs w:val="18"/>
          <w:lang w:val="en-US"/>
        </w:rPr>
      </w:pPr>
      <w:r w:rsidRPr="005A70A4">
        <w:rPr>
          <w:rFonts w:cs="Arial"/>
          <w:sz w:val="18"/>
          <w:szCs w:val="18"/>
          <w:lang w:val="en-US"/>
        </w:rPr>
        <w:t>I invite all readers to explore the pages of this new volume and engage with the content presented. May this edition serve as a source of inspiration, knowledge, and progress, driving food science toward an even more promising future.</w:t>
      </w:r>
    </w:p>
    <w:p w14:paraId="7D3C13BB" w14:textId="5B717243" w:rsidR="00506B24" w:rsidRPr="0058508A" w:rsidRDefault="005A70A4" w:rsidP="005A70A4">
      <w:pPr>
        <w:spacing w:after="0" w:line="360" w:lineRule="auto"/>
        <w:ind w:left="1134" w:firstLine="851"/>
        <w:jc w:val="both"/>
        <w:rPr>
          <w:rFonts w:cs="Arial"/>
          <w:sz w:val="18"/>
          <w:szCs w:val="18"/>
          <w:lang w:val="en-US"/>
        </w:rPr>
      </w:pPr>
      <w:r w:rsidRPr="005A70A4">
        <w:rPr>
          <w:rFonts w:cs="Arial"/>
          <w:sz w:val="18"/>
          <w:szCs w:val="18"/>
          <w:lang w:val="en-US"/>
        </w:rPr>
        <w:t>I wish you an enriching and transformative reading experience and reaffirm our commitment to continue serving as a reference space for the construction and dissemination of scientific knowledge.</w:t>
      </w:r>
    </w:p>
    <w:p w14:paraId="653FB14E" w14:textId="76942971" w:rsidR="00B30E96" w:rsidRPr="0058508A" w:rsidRDefault="00B30E96" w:rsidP="00EA36FC">
      <w:pPr>
        <w:spacing w:after="0" w:line="360" w:lineRule="auto"/>
        <w:ind w:left="1134" w:firstLine="851"/>
        <w:jc w:val="both"/>
        <w:rPr>
          <w:rFonts w:cs="Arial"/>
          <w:sz w:val="18"/>
          <w:szCs w:val="18"/>
          <w:lang w:val="en-US"/>
        </w:rPr>
      </w:pPr>
    </w:p>
    <w:p w14:paraId="2D06D514" w14:textId="2137FF02" w:rsidR="00B439FB" w:rsidRPr="0058508A" w:rsidRDefault="00B439FB" w:rsidP="00EA36FC">
      <w:pPr>
        <w:spacing w:after="0" w:line="360" w:lineRule="auto"/>
        <w:ind w:left="1134" w:firstLine="851"/>
        <w:jc w:val="both"/>
        <w:rPr>
          <w:rFonts w:cs="Arial"/>
          <w:sz w:val="18"/>
          <w:szCs w:val="18"/>
          <w:lang w:val="en-US"/>
        </w:rPr>
      </w:pPr>
    </w:p>
    <w:p w14:paraId="17CB4210" w14:textId="77777777" w:rsidR="00B248E4" w:rsidRPr="0058508A" w:rsidRDefault="00B248E4" w:rsidP="00EA36FC">
      <w:pPr>
        <w:spacing w:after="0" w:line="360" w:lineRule="auto"/>
        <w:ind w:left="1134" w:firstLine="851"/>
        <w:jc w:val="both"/>
        <w:rPr>
          <w:rFonts w:cs="Arial"/>
          <w:sz w:val="18"/>
          <w:szCs w:val="18"/>
          <w:lang w:val="en-US"/>
        </w:rPr>
      </w:pPr>
    </w:p>
    <w:p w14:paraId="19707D73" w14:textId="0B896F09" w:rsidR="00B439FB" w:rsidRPr="0058508A" w:rsidRDefault="00B439FB" w:rsidP="00EA36FC">
      <w:pPr>
        <w:spacing w:after="0" w:line="360" w:lineRule="auto"/>
        <w:ind w:left="1134" w:firstLine="851"/>
        <w:jc w:val="both"/>
        <w:rPr>
          <w:rFonts w:cs="Arial"/>
          <w:sz w:val="18"/>
          <w:szCs w:val="18"/>
          <w:lang w:val="en-US"/>
        </w:rPr>
      </w:pPr>
    </w:p>
    <w:p w14:paraId="2F057E88" w14:textId="77777777" w:rsidR="00B30E96" w:rsidRPr="0058508A" w:rsidRDefault="00B30E96" w:rsidP="008E0867">
      <w:pPr>
        <w:spacing w:after="0" w:line="360" w:lineRule="auto"/>
        <w:jc w:val="center"/>
        <w:rPr>
          <w:rFonts w:cs="Arial"/>
          <w:sz w:val="18"/>
          <w:szCs w:val="18"/>
          <w:lang w:val="en-US"/>
        </w:rPr>
      </w:pPr>
    </w:p>
    <w:p w14:paraId="3EB1D1C3" w14:textId="27180D34" w:rsidR="004A7B9A" w:rsidRPr="0058508A" w:rsidRDefault="007B3EC2" w:rsidP="008E0867">
      <w:pPr>
        <w:spacing w:after="0" w:line="240" w:lineRule="auto"/>
        <w:jc w:val="center"/>
        <w:rPr>
          <w:rFonts w:cs="Arial"/>
          <w:b/>
          <w:bCs/>
          <w:sz w:val="18"/>
          <w:szCs w:val="18"/>
        </w:rPr>
      </w:pPr>
      <w:r w:rsidRPr="0058508A">
        <w:rPr>
          <w:rFonts w:cs="Arial"/>
          <w:b/>
          <w:bCs/>
          <w:sz w:val="18"/>
          <w:szCs w:val="18"/>
        </w:rPr>
        <w:t xml:space="preserve">Dr. </w:t>
      </w:r>
      <w:r w:rsidR="002E687F" w:rsidRPr="0058508A">
        <w:rPr>
          <w:rFonts w:cs="Arial"/>
          <w:b/>
          <w:bCs/>
          <w:sz w:val="18"/>
          <w:szCs w:val="18"/>
        </w:rPr>
        <w:t>Gerson Lopes Teixeira</w:t>
      </w:r>
      <w:r w:rsidR="00F44F60" w:rsidRPr="0058508A">
        <w:rPr>
          <w:rFonts w:cs="Arial"/>
          <w:b/>
          <w:bCs/>
          <w:sz w:val="18"/>
          <w:szCs w:val="18"/>
        </w:rPr>
        <w:t xml:space="preserve"> </w:t>
      </w:r>
      <w:r w:rsidR="00F44F60" w:rsidRPr="0058508A">
        <w:rPr>
          <w:rFonts w:cs="Arial"/>
          <w:noProof/>
          <w:sz w:val="20"/>
          <w:szCs w:val="20"/>
        </w:rPr>
        <w:drawing>
          <wp:inline distT="0" distB="0" distL="0" distR="0" wp14:anchorId="60BF3976" wp14:editId="461E9069">
            <wp:extent cx="114625" cy="114625"/>
            <wp:effectExtent l="0" t="0" r="0" b="0"/>
            <wp:docPr id="3" name="Imagem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4625" cy="114625"/>
                    </a:xfrm>
                    <a:prstGeom prst="rect">
                      <a:avLst/>
                    </a:prstGeom>
                    <a:noFill/>
                  </pic:spPr>
                </pic:pic>
              </a:graphicData>
            </a:graphic>
          </wp:inline>
        </w:drawing>
      </w:r>
    </w:p>
    <w:p w14:paraId="3FFC5D93" w14:textId="59698035" w:rsidR="002E687F" w:rsidRPr="0058508A" w:rsidRDefault="002E687F" w:rsidP="008E0867">
      <w:pPr>
        <w:spacing w:after="0" w:line="360" w:lineRule="auto"/>
        <w:jc w:val="center"/>
        <w:rPr>
          <w:rFonts w:cs="Arial"/>
          <w:sz w:val="18"/>
          <w:szCs w:val="18"/>
        </w:rPr>
      </w:pPr>
      <w:r w:rsidRPr="0058508A">
        <w:rPr>
          <w:rFonts w:cs="Arial"/>
          <w:sz w:val="18"/>
          <w:szCs w:val="18"/>
        </w:rPr>
        <w:t>Editor</w:t>
      </w:r>
      <w:r w:rsidR="00F5652A" w:rsidRPr="0058508A">
        <w:rPr>
          <w:rFonts w:cs="Arial"/>
          <w:sz w:val="18"/>
          <w:szCs w:val="18"/>
        </w:rPr>
        <w:t>-in</w:t>
      </w:r>
      <w:r w:rsidRPr="0058508A">
        <w:rPr>
          <w:rFonts w:cs="Arial"/>
          <w:sz w:val="18"/>
          <w:szCs w:val="18"/>
        </w:rPr>
        <w:t>-</w:t>
      </w:r>
      <w:proofErr w:type="spellStart"/>
      <w:r w:rsidRPr="0058508A">
        <w:rPr>
          <w:rFonts w:cs="Arial"/>
          <w:sz w:val="18"/>
          <w:szCs w:val="18"/>
        </w:rPr>
        <w:t>Ch</w:t>
      </w:r>
      <w:r w:rsidR="00F5652A" w:rsidRPr="0058508A">
        <w:rPr>
          <w:rFonts w:cs="Arial"/>
          <w:sz w:val="18"/>
          <w:szCs w:val="18"/>
        </w:rPr>
        <w:t>ief</w:t>
      </w:r>
      <w:proofErr w:type="spellEnd"/>
    </w:p>
    <w:p w14:paraId="4F3802F5" w14:textId="3066459B" w:rsidR="000A3056" w:rsidRPr="0058508A" w:rsidRDefault="00A86D54" w:rsidP="008E0867">
      <w:pPr>
        <w:jc w:val="center"/>
        <w:rPr>
          <w:rFonts w:cs="Arial"/>
          <w:lang w:val="en-US"/>
        </w:rPr>
      </w:pPr>
      <w:r w:rsidRPr="0058508A">
        <w:rPr>
          <w:rFonts w:cs="Arial"/>
          <w:noProof/>
          <w:lang w:val="en-US"/>
        </w:rPr>
        <w:drawing>
          <wp:inline distT="0" distB="0" distL="0" distR="0" wp14:anchorId="73DD4DA3" wp14:editId="0BF86C57">
            <wp:extent cx="899105" cy="358853"/>
            <wp:effectExtent l="0" t="0" r="0" b="3175"/>
            <wp:docPr id="1" name="Image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8"/>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899105" cy="358853"/>
                    </a:xfrm>
                    <a:prstGeom prst="rect">
                      <a:avLst/>
                    </a:prstGeom>
                  </pic:spPr>
                </pic:pic>
              </a:graphicData>
            </a:graphic>
          </wp:inline>
        </w:drawing>
      </w:r>
    </w:p>
    <w:p w14:paraId="66ABA5E2" w14:textId="152756C2" w:rsidR="00A622E3" w:rsidRPr="0058508A" w:rsidRDefault="005672BC" w:rsidP="00B248E4">
      <w:pPr>
        <w:tabs>
          <w:tab w:val="left" w:pos="2085"/>
          <w:tab w:val="left" w:pos="4019"/>
        </w:tabs>
        <w:jc w:val="center"/>
        <w:rPr>
          <w:rStyle w:val="Hyperlink"/>
          <w:rFonts w:cs="Arial"/>
          <w:color w:val="auto"/>
          <w:sz w:val="18"/>
          <w:szCs w:val="18"/>
          <w:u w:val="none"/>
        </w:rPr>
      </w:pPr>
      <w:hyperlink r:id="rId13" w:history="1">
        <w:r w:rsidRPr="0058508A">
          <w:rPr>
            <w:rStyle w:val="Hyperlink"/>
            <w:rFonts w:cs="Arial"/>
            <w:color w:val="auto"/>
            <w:sz w:val="18"/>
            <w:szCs w:val="18"/>
            <w:u w:val="none"/>
          </w:rPr>
          <w:t>journals.royaldataset.com/fst</w:t>
        </w:r>
      </w:hyperlink>
      <w:r w:rsidR="00A622E3" w:rsidRPr="0058508A">
        <w:rPr>
          <w:rStyle w:val="Hyperlink"/>
          <w:rFonts w:cs="Arial"/>
          <w:color w:val="auto"/>
          <w:sz w:val="18"/>
          <w:szCs w:val="18"/>
          <w:u w:val="none"/>
        </w:rPr>
        <w:br w:type="page"/>
      </w:r>
    </w:p>
    <w:tbl>
      <w:tblPr>
        <w:tblStyle w:val="Tabelacomgrade"/>
        <w:tblW w:w="96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737"/>
      </w:tblGrid>
      <w:tr w:rsidR="00A622E3" w:rsidRPr="0058508A" w14:paraId="3BC39EF6" w14:textId="77777777" w:rsidTr="00786730">
        <w:trPr>
          <w:trHeight w:val="629"/>
        </w:trPr>
        <w:tc>
          <w:tcPr>
            <w:tcW w:w="7938" w:type="dxa"/>
            <w:shd w:val="clear" w:color="auto" w:fill="E2EFD9" w:themeFill="accent6" w:themeFillTint="33"/>
            <w:vAlign w:val="center"/>
          </w:tcPr>
          <w:p w14:paraId="3A6796CF" w14:textId="77777777" w:rsidR="00A622E3" w:rsidRPr="0058508A" w:rsidRDefault="00A622E3" w:rsidP="00786730">
            <w:pPr>
              <w:rPr>
                <w:rFonts w:eastAsia="Arial Unicode MS" w:cs="Arial"/>
                <w:spacing w:val="80"/>
                <w:lang w:val="en-US"/>
              </w:rPr>
            </w:pPr>
            <w:r w:rsidRPr="0058508A">
              <w:rPr>
                <w:rFonts w:eastAsia="Arial Unicode MS" w:cs="Arial"/>
                <w:spacing w:val="80"/>
                <w:lang w:val="en-US"/>
              </w:rPr>
              <w:lastRenderedPageBreak/>
              <w:t>EDITORIAL</w:t>
            </w:r>
          </w:p>
        </w:tc>
        <w:tc>
          <w:tcPr>
            <w:tcW w:w="1737" w:type="dxa"/>
            <w:tcBorders>
              <w:bottom w:val="nil"/>
            </w:tcBorders>
            <w:vAlign w:val="center"/>
          </w:tcPr>
          <w:p w14:paraId="33115A58" w14:textId="77777777" w:rsidR="00A622E3" w:rsidRPr="0058508A" w:rsidRDefault="00A622E3" w:rsidP="00786730">
            <w:pPr>
              <w:jc w:val="right"/>
              <w:rPr>
                <w:rFonts w:cs="Arial"/>
                <w:lang w:val="en-US"/>
              </w:rPr>
            </w:pPr>
            <w:r w:rsidRPr="0058508A">
              <w:rPr>
                <w:rFonts w:cs="Arial"/>
                <w:noProof/>
                <w:lang w:val="en-US"/>
              </w:rPr>
              <w:drawing>
                <wp:inline distT="0" distB="0" distL="0" distR="0" wp14:anchorId="5AB617A9" wp14:editId="16B69580">
                  <wp:extent cx="899105" cy="358853"/>
                  <wp:effectExtent l="0" t="0" r="0" b="3175"/>
                  <wp:docPr id="6" name="Image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8"/>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899105" cy="358853"/>
                          </a:xfrm>
                          <a:prstGeom prst="rect">
                            <a:avLst/>
                          </a:prstGeom>
                        </pic:spPr>
                      </pic:pic>
                    </a:graphicData>
                  </a:graphic>
                </wp:inline>
              </w:drawing>
            </w:r>
          </w:p>
        </w:tc>
      </w:tr>
    </w:tbl>
    <w:p w14:paraId="365AC20D" w14:textId="77777777" w:rsidR="00A622E3" w:rsidRPr="0058508A" w:rsidRDefault="00A622E3" w:rsidP="00A622E3">
      <w:pPr>
        <w:tabs>
          <w:tab w:val="left" w:pos="2085"/>
          <w:tab w:val="left" w:pos="4019"/>
        </w:tabs>
        <w:ind w:left="1134" w:firstLine="851"/>
        <w:jc w:val="both"/>
        <w:rPr>
          <w:rFonts w:cs="Arial"/>
          <w:sz w:val="18"/>
          <w:szCs w:val="18"/>
        </w:rPr>
      </w:pPr>
    </w:p>
    <w:p w14:paraId="0F63672F" w14:textId="77777777" w:rsidR="00A622E3" w:rsidRPr="0058508A" w:rsidRDefault="00A622E3" w:rsidP="00A622E3">
      <w:pPr>
        <w:tabs>
          <w:tab w:val="left" w:pos="2085"/>
          <w:tab w:val="left" w:pos="4019"/>
        </w:tabs>
        <w:ind w:left="1134" w:firstLine="851"/>
        <w:jc w:val="both"/>
        <w:rPr>
          <w:rFonts w:cs="Arial"/>
          <w:sz w:val="18"/>
          <w:szCs w:val="18"/>
        </w:rPr>
      </w:pPr>
    </w:p>
    <w:p w14:paraId="62C935D4" w14:textId="37D496B1" w:rsidR="00C3656B" w:rsidRPr="0058508A" w:rsidRDefault="0058508A" w:rsidP="00C3656B">
      <w:pPr>
        <w:tabs>
          <w:tab w:val="left" w:pos="2085"/>
          <w:tab w:val="left" w:pos="4019"/>
        </w:tabs>
        <w:ind w:left="1134" w:firstLine="851"/>
        <w:jc w:val="both"/>
        <w:rPr>
          <w:rFonts w:cs="Arial"/>
          <w:sz w:val="18"/>
          <w:szCs w:val="18"/>
        </w:rPr>
      </w:pPr>
      <w:r w:rsidRPr="0058508A">
        <w:rPr>
          <w:rFonts w:cs="Arial"/>
          <w:sz w:val="18"/>
          <w:szCs w:val="18"/>
        </w:rPr>
        <w:t xml:space="preserve">É com grande satisfação e orgulho que apresentamos o </w:t>
      </w:r>
      <w:r w:rsidRPr="0058508A">
        <w:rPr>
          <w:rFonts w:cs="Arial"/>
          <w:b/>
          <w:bCs/>
          <w:sz w:val="18"/>
          <w:szCs w:val="18"/>
        </w:rPr>
        <w:t>Volume 4</w:t>
      </w:r>
      <w:r w:rsidRPr="0058508A">
        <w:rPr>
          <w:rFonts w:cs="Arial"/>
          <w:sz w:val="18"/>
          <w:szCs w:val="18"/>
        </w:rPr>
        <w:t xml:space="preserve"> da </w:t>
      </w:r>
      <w:r w:rsidRPr="0058508A">
        <w:rPr>
          <w:rFonts w:cs="Arial"/>
          <w:b/>
          <w:bCs/>
          <w:i/>
          <w:iCs/>
          <w:sz w:val="18"/>
          <w:szCs w:val="18"/>
        </w:rPr>
        <w:t>Food Science Today</w:t>
      </w:r>
      <w:r w:rsidRPr="0058508A">
        <w:rPr>
          <w:rFonts w:cs="Arial"/>
          <w:sz w:val="18"/>
          <w:szCs w:val="18"/>
        </w:rPr>
        <w:t xml:space="preserve">. Este lançamento marca um momento especial em nossa jornada, à medida que celebramos o segundo aniversário da revista, consolidando nosso papel como uma plataforma de excelência dedicada à divulgação de pesquisas </w:t>
      </w:r>
      <w:r>
        <w:rPr>
          <w:rFonts w:cs="Arial"/>
          <w:sz w:val="18"/>
          <w:szCs w:val="18"/>
        </w:rPr>
        <w:t>relevantes</w:t>
      </w:r>
      <w:r w:rsidRPr="0058508A">
        <w:rPr>
          <w:rFonts w:cs="Arial"/>
          <w:sz w:val="18"/>
          <w:szCs w:val="18"/>
        </w:rPr>
        <w:t xml:space="preserve"> e </w:t>
      </w:r>
      <w:r>
        <w:rPr>
          <w:rFonts w:cs="Arial"/>
          <w:sz w:val="18"/>
          <w:szCs w:val="18"/>
        </w:rPr>
        <w:t xml:space="preserve">os </w:t>
      </w:r>
      <w:r w:rsidRPr="0058508A">
        <w:rPr>
          <w:rFonts w:cs="Arial"/>
          <w:sz w:val="18"/>
          <w:szCs w:val="18"/>
        </w:rPr>
        <w:t>avanços científicos no vasto e dinâmico campo da ciência de alimentos.</w:t>
      </w:r>
    </w:p>
    <w:p w14:paraId="196FE7F4" w14:textId="2BC9A347" w:rsidR="0058508A" w:rsidRPr="0058508A" w:rsidRDefault="0058508A" w:rsidP="00C3656B">
      <w:pPr>
        <w:tabs>
          <w:tab w:val="left" w:pos="2085"/>
          <w:tab w:val="left" w:pos="4019"/>
        </w:tabs>
        <w:ind w:left="1134" w:firstLine="851"/>
        <w:jc w:val="both"/>
        <w:rPr>
          <w:rFonts w:cs="Arial"/>
          <w:sz w:val="18"/>
          <w:szCs w:val="18"/>
        </w:rPr>
      </w:pPr>
      <w:r w:rsidRPr="0058508A">
        <w:rPr>
          <w:rFonts w:cs="Arial"/>
          <w:sz w:val="18"/>
          <w:szCs w:val="18"/>
        </w:rPr>
        <w:t>Ao longo dos últimos dois anos, temos trabalhado incansavelmente para conectar pesquisadores, acadêmicos e profissionais, promovendo o intercâmbio de ideias inovadoras que contribuem para o desenvolvimento científico e para soluções que impactam positivamente a sociedade.</w:t>
      </w:r>
    </w:p>
    <w:p w14:paraId="49E687E7" w14:textId="00C639F4" w:rsidR="0058508A" w:rsidRPr="0058508A" w:rsidRDefault="0058508A" w:rsidP="00C3656B">
      <w:pPr>
        <w:tabs>
          <w:tab w:val="left" w:pos="2085"/>
          <w:tab w:val="left" w:pos="4019"/>
        </w:tabs>
        <w:ind w:left="1134" w:firstLine="851"/>
        <w:jc w:val="both"/>
        <w:rPr>
          <w:rFonts w:cs="Arial"/>
          <w:sz w:val="18"/>
          <w:szCs w:val="18"/>
        </w:rPr>
      </w:pPr>
      <w:r w:rsidRPr="0058508A">
        <w:rPr>
          <w:rFonts w:cs="Arial"/>
          <w:sz w:val="18"/>
          <w:szCs w:val="18"/>
        </w:rPr>
        <w:t>Neste volume, você encontrará artigos que discutem temas relevantes como a sustentabilidade no processamento de alimentos, a aplicação de tecnologias inovadoras na indústria, a análise de propriedades nutricionais e funcionais, entre outros tópicos que representam o estado da arte na área. Nosso objetivo é não apenas divulgar conhecimento, mas também inspirar novas pesquisas, estimular colaborações entre diferentes áreas do saber e fortalecer o impacto global da ciência de alimentos.</w:t>
      </w:r>
    </w:p>
    <w:p w14:paraId="7D1FD877" w14:textId="77777777" w:rsidR="0058508A" w:rsidRPr="0058508A" w:rsidRDefault="0058508A" w:rsidP="0058508A">
      <w:pPr>
        <w:tabs>
          <w:tab w:val="left" w:pos="2085"/>
          <w:tab w:val="left" w:pos="4019"/>
        </w:tabs>
        <w:ind w:left="1134" w:firstLine="851"/>
        <w:jc w:val="both"/>
        <w:rPr>
          <w:rFonts w:cs="Arial"/>
          <w:sz w:val="18"/>
          <w:szCs w:val="18"/>
        </w:rPr>
      </w:pPr>
      <w:r w:rsidRPr="0058508A">
        <w:rPr>
          <w:rFonts w:cs="Arial"/>
          <w:sz w:val="18"/>
          <w:szCs w:val="18"/>
        </w:rPr>
        <w:t>Convido a todos os leitores a explorarem as páginas deste novo volume e a se engajarem com os conteúdos aqui apresentados. Que esta edição sirva como uma fonte de inspiração, conhecimento e avanço, impulsionando a ciência de alimentos rumo a um futuro ainda mais promissor.</w:t>
      </w:r>
    </w:p>
    <w:p w14:paraId="5A8A7096" w14:textId="18770E69" w:rsidR="00A622E3" w:rsidRPr="0058508A" w:rsidRDefault="0058508A" w:rsidP="0058508A">
      <w:pPr>
        <w:tabs>
          <w:tab w:val="left" w:pos="2085"/>
          <w:tab w:val="left" w:pos="4019"/>
        </w:tabs>
        <w:ind w:left="1134" w:firstLine="851"/>
        <w:jc w:val="both"/>
        <w:rPr>
          <w:rFonts w:cs="Arial"/>
          <w:sz w:val="18"/>
          <w:szCs w:val="18"/>
        </w:rPr>
      </w:pPr>
      <w:r w:rsidRPr="0058508A">
        <w:rPr>
          <w:rFonts w:cs="Arial"/>
          <w:sz w:val="18"/>
          <w:szCs w:val="18"/>
        </w:rPr>
        <w:t>Desejo uma leitura enriquecedora e transformadora, e reitero nosso compromisso em continuar sendo um espaço de referência para a construção e disseminação de saberes científicos.</w:t>
      </w:r>
    </w:p>
    <w:p w14:paraId="051C9750" w14:textId="5041EF48" w:rsidR="00A622E3" w:rsidRPr="0058508A" w:rsidRDefault="00A622E3" w:rsidP="00A622E3">
      <w:pPr>
        <w:spacing w:after="0" w:line="360" w:lineRule="auto"/>
        <w:jc w:val="center"/>
        <w:rPr>
          <w:rFonts w:cs="Arial"/>
          <w:sz w:val="18"/>
          <w:szCs w:val="18"/>
        </w:rPr>
      </w:pPr>
    </w:p>
    <w:p w14:paraId="0C857AD2" w14:textId="77777777" w:rsidR="00A622E3" w:rsidRPr="0058508A" w:rsidRDefault="00A622E3" w:rsidP="00A622E3">
      <w:pPr>
        <w:spacing w:after="0" w:line="360" w:lineRule="auto"/>
        <w:jc w:val="center"/>
        <w:rPr>
          <w:rFonts w:cs="Arial"/>
          <w:sz w:val="18"/>
          <w:szCs w:val="18"/>
        </w:rPr>
      </w:pPr>
    </w:p>
    <w:p w14:paraId="2279F29C" w14:textId="10BCE892" w:rsidR="00A622E3" w:rsidRPr="0058508A" w:rsidRDefault="00A622E3" w:rsidP="00A622E3">
      <w:pPr>
        <w:spacing w:after="0" w:line="360" w:lineRule="auto"/>
        <w:jc w:val="center"/>
        <w:rPr>
          <w:rFonts w:cs="Arial"/>
          <w:sz w:val="18"/>
          <w:szCs w:val="18"/>
        </w:rPr>
      </w:pPr>
    </w:p>
    <w:p w14:paraId="3A32E9D1" w14:textId="77777777" w:rsidR="00F02278" w:rsidRPr="0058508A" w:rsidRDefault="00F02278" w:rsidP="00A622E3">
      <w:pPr>
        <w:spacing w:after="0" w:line="360" w:lineRule="auto"/>
        <w:jc w:val="center"/>
        <w:rPr>
          <w:rFonts w:cs="Arial"/>
          <w:sz w:val="18"/>
          <w:szCs w:val="18"/>
        </w:rPr>
      </w:pPr>
    </w:p>
    <w:p w14:paraId="7BB0F0E7" w14:textId="4E16BDEF" w:rsidR="00A622E3" w:rsidRPr="0058508A" w:rsidRDefault="00A622E3" w:rsidP="00A622E3">
      <w:pPr>
        <w:spacing w:after="0" w:line="360" w:lineRule="auto"/>
        <w:jc w:val="center"/>
        <w:rPr>
          <w:rFonts w:cs="Arial"/>
          <w:sz w:val="18"/>
          <w:szCs w:val="18"/>
        </w:rPr>
      </w:pPr>
    </w:p>
    <w:p w14:paraId="598168F1" w14:textId="54A3CDB3" w:rsidR="00A622E3" w:rsidRPr="0058508A" w:rsidRDefault="00A622E3" w:rsidP="00A622E3">
      <w:pPr>
        <w:spacing w:after="0" w:line="360" w:lineRule="auto"/>
        <w:jc w:val="center"/>
        <w:rPr>
          <w:rFonts w:cs="Arial"/>
          <w:sz w:val="18"/>
          <w:szCs w:val="18"/>
        </w:rPr>
      </w:pPr>
    </w:p>
    <w:p w14:paraId="2B17384D" w14:textId="77777777" w:rsidR="00A622E3" w:rsidRPr="0058508A" w:rsidRDefault="00A622E3" w:rsidP="00A622E3">
      <w:pPr>
        <w:spacing w:after="0" w:line="360" w:lineRule="auto"/>
        <w:jc w:val="center"/>
        <w:rPr>
          <w:rFonts w:cs="Arial"/>
          <w:sz w:val="18"/>
          <w:szCs w:val="18"/>
        </w:rPr>
      </w:pPr>
    </w:p>
    <w:p w14:paraId="34E57A02" w14:textId="77777777" w:rsidR="00A622E3" w:rsidRPr="0058508A" w:rsidRDefault="00A622E3" w:rsidP="00A622E3">
      <w:pPr>
        <w:spacing w:after="0" w:line="240" w:lineRule="auto"/>
        <w:jc w:val="center"/>
        <w:rPr>
          <w:rFonts w:cs="Arial"/>
          <w:b/>
          <w:bCs/>
          <w:sz w:val="18"/>
          <w:szCs w:val="18"/>
        </w:rPr>
      </w:pPr>
      <w:r w:rsidRPr="0058508A">
        <w:rPr>
          <w:rFonts w:cs="Arial"/>
          <w:b/>
          <w:bCs/>
          <w:sz w:val="18"/>
          <w:szCs w:val="18"/>
        </w:rPr>
        <w:t xml:space="preserve">Dr. Gerson Lopes Teixeira </w:t>
      </w:r>
      <w:r w:rsidRPr="0058508A">
        <w:rPr>
          <w:rFonts w:cs="Arial"/>
          <w:noProof/>
          <w:sz w:val="20"/>
          <w:szCs w:val="20"/>
        </w:rPr>
        <w:drawing>
          <wp:inline distT="0" distB="0" distL="0" distR="0" wp14:anchorId="421AE404" wp14:editId="1CAA53A8">
            <wp:extent cx="114625" cy="114625"/>
            <wp:effectExtent l="0" t="0" r="0" b="0"/>
            <wp:docPr id="4" name="Imagem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14625" cy="114625"/>
                    </a:xfrm>
                    <a:prstGeom prst="rect">
                      <a:avLst/>
                    </a:prstGeom>
                    <a:noFill/>
                  </pic:spPr>
                </pic:pic>
              </a:graphicData>
            </a:graphic>
          </wp:inline>
        </w:drawing>
      </w:r>
    </w:p>
    <w:p w14:paraId="62865D11" w14:textId="752DFBBD" w:rsidR="00A622E3" w:rsidRPr="0058508A" w:rsidRDefault="00A622E3" w:rsidP="00A622E3">
      <w:pPr>
        <w:spacing w:after="0" w:line="360" w:lineRule="auto"/>
        <w:jc w:val="center"/>
        <w:rPr>
          <w:rFonts w:cs="Arial"/>
          <w:sz w:val="18"/>
          <w:szCs w:val="18"/>
        </w:rPr>
      </w:pPr>
      <w:r w:rsidRPr="0058508A">
        <w:rPr>
          <w:rFonts w:cs="Arial"/>
          <w:sz w:val="18"/>
          <w:szCs w:val="18"/>
        </w:rPr>
        <w:t>Editor-Chefe</w:t>
      </w:r>
    </w:p>
    <w:p w14:paraId="57AD33CF" w14:textId="77777777" w:rsidR="00A622E3" w:rsidRPr="0058508A" w:rsidRDefault="00A622E3" w:rsidP="00A622E3">
      <w:pPr>
        <w:jc w:val="center"/>
        <w:rPr>
          <w:rFonts w:cs="Arial"/>
          <w:lang w:val="en-US"/>
        </w:rPr>
      </w:pPr>
      <w:r w:rsidRPr="0058508A">
        <w:rPr>
          <w:rFonts w:cs="Arial"/>
          <w:noProof/>
          <w:lang w:val="en-US"/>
        </w:rPr>
        <w:drawing>
          <wp:inline distT="0" distB="0" distL="0" distR="0" wp14:anchorId="4D582494" wp14:editId="498025B8">
            <wp:extent cx="899105" cy="358853"/>
            <wp:effectExtent l="0" t="0" r="0" b="3175"/>
            <wp:docPr id="5" name="Imagem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3"/>
                    </pic:cNvPr>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899105" cy="358853"/>
                    </a:xfrm>
                    <a:prstGeom prst="rect">
                      <a:avLst/>
                    </a:prstGeom>
                  </pic:spPr>
                </pic:pic>
              </a:graphicData>
            </a:graphic>
          </wp:inline>
        </w:drawing>
      </w:r>
    </w:p>
    <w:p w14:paraId="14389AFB" w14:textId="34D7A782" w:rsidR="00A622E3" w:rsidRPr="0058508A" w:rsidRDefault="00A622E3" w:rsidP="00A622E3">
      <w:pPr>
        <w:tabs>
          <w:tab w:val="left" w:pos="2085"/>
          <w:tab w:val="left" w:pos="4019"/>
        </w:tabs>
        <w:jc w:val="center"/>
        <w:rPr>
          <w:rFonts w:cs="Arial"/>
          <w:sz w:val="18"/>
          <w:szCs w:val="18"/>
        </w:rPr>
      </w:pPr>
      <w:hyperlink r:id="rId14" w:history="1">
        <w:r w:rsidRPr="0058508A">
          <w:rPr>
            <w:rStyle w:val="Hyperlink"/>
            <w:rFonts w:cs="Arial"/>
            <w:color w:val="auto"/>
            <w:sz w:val="18"/>
            <w:szCs w:val="18"/>
            <w:u w:val="none"/>
          </w:rPr>
          <w:t>journals.royaldataset.com/fst</w:t>
        </w:r>
      </w:hyperlink>
    </w:p>
    <w:sectPr w:rsidR="00A622E3" w:rsidRPr="0058508A" w:rsidSect="001C2B57">
      <w:headerReference w:type="even" r:id="rId15"/>
      <w:headerReference w:type="default" r:id="rId16"/>
      <w:footerReference w:type="default" r:id="rId17"/>
      <w:headerReference w:type="first" r:id="rId18"/>
      <w:footerReference w:type="first" r:id="rId19"/>
      <w:type w:val="continuous"/>
      <w:pgSz w:w="11906" w:h="16838"/>
      <w:pgMar w:top="867" w:right="1134" w:bottom="1134" w:left="1134" w:header="846"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B15D6" w14:textId="77777777" w:rsidR="007E240A" w:rsidRDefault="007E240A" w:rsidP="00F26E5C">
      <w:pPr>
        <w:spacing w:after="0" w:line="240" w:lineRule="auto"/>
      </w:pPr>
      <w:r>
        <w:separator/>
      </w:r>
    </w:p>
  </w:endnote>
  <w:endnote w:type="continuationSeparator" w:id="0">
    <w:p w14:paraId="005278E6" w14:textId="77777777" w:rsidR="007E240A" w:rsidRDefault="007E240A" w:rsidP="00F2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3B5333" w:rsidRPr="002E687F" w14:paraId="5B293EA2" w14:textId="1B1D629C" w:rsidTr="003B5333">
      <w:trPr>
        <w:jc w:val="center"/>
      </w:trPr>
      <w:tc>
        <w:tcPr>
          <w:tcW w:w="9628" w:type="dxa"/>
          <w:vAlign w:val="center"/>
        </w:tcPr>
        <w:p w14:paraId="515CB364" w14:textId="2FB03CAB" w:rsidR="003B5333" w:rsidRPr="002E687F" w:rsidRDefault="003B5333" w:rsidP="003B5333">
          <w:pPr>
            <w:jc w:val="center"/>
            <w:rPr>
              <w:rFonts w:ascii="Helvetica" w:hAnsi="Helvetica"/>
              <w:lang w:val="en-US"/>
            </w:rPr>
          </w:pPr>
          <w:r w:rsidRPr="005B6EF1">
            <w:rPr>
              <w:rFonts w:ascii="Helvetica" w:hAnsi="Helvetica"/>
              <w:noProof/>
              <w:sz w:val="16"/>
              <w:szCs w:val="16"/>
            </w:rPr>
            <w:drawing>
              <wp:inline distT="0" distB="0" distL="0" distR="0" wp14:anchorId="17143148" wp14:editId="7CB363BB">
                <wp:extent cx="1123950" cy="157193"/>
                <wp:effectExtent l="0" t="0" r="0" b="0"/>
                <wp:docPr id="13" name="Imagem 2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m 29">
                          <a:hlinkClick r:id="rId1"/>
                        </pic:cNvPr>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80984" cy="165170"/>
                        </a:xfrm>
                        <a:prstGeom prst="rect">
                          <a:avLst/>
                        </a:prstGeom>
                      </pic:spPr>
                    </pic:pic>
                  </a:graphicData>
                </a:graphic>
              </wp:inline>
            </w:drawing>
          </w:r>
        </w:p>
      </w:tc>
    </w:tr>
  </w:tbl>
  <w:p w14:paraId="306EE0BD" w14:textId="477D0D26" w:rsidR="0073372A" w:rsidRPr="002E687F" w:rsidRDefault="0073372A" w:rsidP="005B6EF1">
    <w:pPr>
      <w:jc w:val="right"/>
      <w:rPr>
        <w:rFonts w:ascii="Helvetica" w:hAnsi="Helvetica"/>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729089"/>
      <w:docPartObj>
        <w:docPartGallery w:val="Page Numbers (Bottom of Page)"/>
        <w:docPartUnique/>
      </w:docPartObj>
    </w:sdtPr>
    <w:sdtContent>
      <w:p w14:paraId="73443E72" w14:textId="10E9A9CE" w:rsidR="0073372A" w:rsidRDefault="0073372A">
        <w:pPr>
          <w:pStyle w:val="Rodap"/>
          <w:jc w:val="right"/>
        </w:pPr>
        <w:r>
          <w:fldChar w:fldCharType="begin"/>
        </w:r>
        <w:r>
          <w:instrText>PAGE   \* MERGEFORMAT</w:instrText>
        </w:r>
        <w:r>
          <w:fldChar w:fldCharType="separate"/>
        </w:r>
        <w:r>
          <w:t>2</w:t>
        </w:r>
        <w:r>
          <w:fldChar w:fldCharType="end"/>
        </w:r>
      </w:p>
    </w:sdtContent>
  </w:sdt>
  <w:p w14:paraId="306DAA3D" w14:textId="77777777" w:rsidR="0073372A" w:rsidRDefault="007337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20FB" w14:textId="77777777" w:rsidR="007E240A" w:rsidRDefault="007E240A" w:rsidP="00F26E5C">
      <w:pPr>
        <w:spacing w:after="0" w:line="240" w:lineRule="auto"/>
      </w:pPr>
      <w:r>
        <w:separator/>
      </w:r>
    </w:p>
  </w:footnote>
  <w:footnote w:type="continuationSeparator" w:id="0">
    <w:p w14:paraId="2432C41C" w14:textId="77777777" w:rsidR="007E240A" w:rsidRDefault="007E240A" w:rsidP="00F26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3425" w14:textId="601D3B04" w:rsidR="005672BC" w:rsidRDefault="005672BC">
    <w:pPr>
      <w:pStyle w:val="Cabealho"/>
      <w:jc w:val="right"/>
    </w:pPr>
  </w:p>
  <w:sdt>
    <w:sdtPr>
      <w:id w:val="-1707019325"/>
      <w:docPartObj>
        <w:docPartGallery w:val="Page Numbers (Top of Page)"/>
        <w:docPartUnique/>
      </w:docPartObj>
    </w:sdtPr>
    <w:sdtContent>
      <w:p w14:paraId="3157BB23" w14:textId="77777777" w:rsidR="005672BC" w:rsidRDefault="005672BC">
        <w:pPr>
          <w:pStyle w:val="Cabealho"/>
          <w:jc w:val="right"/>
        </w:pPr>
        <w:r>
          <w:fldChar w:fldCharType="begin"/>
        </w:r>
        <w:r>
          <w:instrText>PAGE   \* MERGEFORMAT</w:instrText>
        </w:r>
        <w:r>
          <w:fldChar w:fldCharType="separate"/>
        </w:r>
        <w:r>
          <w:t>2</w:t>
        </w:r>
        <w:r>
          <w:fldChar w:fldCharType="end"/>
        </w:r>
      </w:p>
    </w:sdtContent>
  </w:sdt>
  <w:p w14:paraId="34C8FCF2" w14:textId="77777777" w:rsidR="005672BC" w:rsidRDefault="005672B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73372A" w:rsidRPr="00A622E3" w14:paraId="7510CF65" w14:textId="77777777" w:rsidTr="0073372A">
      <w:tc>
        <w:tcPr>
          <w:tcW w:w="4395" w:type="dxa"/>
        </w:tcPr>
        <w:p w14:paraId="3786F78A" w14:textId="62CD03EF" w:rsidR="0073372A" w:rsidRPr="0058508A" w:rsidRDefault="009D437A" w:rsidP="0073372A">
          <w:pPr>
            <w:pStyle w:val="Cabealho"/>
            <w:tabs>
              <w:tab w:val="clear" w:pos="4252"/>
              <w:tab w:val="clear" w:pos="8504"/>
            </w:tabs>
            <w:spacing w:line="360" w:lineRule="auto"/>
            <w:jc w:val="both"/>
            <w:rPr>
              <w:rFonts w:cs="Arial"/>
              <w:i/>
              <w:iCs/>
              <w:sz w:val="16"/>
              <w:szCs w:val="16"/>
              <w:lang w:val="en-US"/>
            </w:rPr>
          </w:pPr>
          <w:r w:rsidRPr="0058508A">
            <w:rPr>
              <w:rFonts w:cs="Arial"/>
              <w:sz w:val="14"/>
              <w:szCs w:val="14"/>
              <w:lang w:val="en-US"/>
            </w:rPr>
            <w:t xml:space="preserve">Food Science Today, Florianópolis, v. </w:t>
          </w:r>
          <w:r w:rsidR="0058508A" w:rsidRPr="0058508A">
            <w:rPr>
              <w:rFonts w:cs="Arial"/>
              <w:sz w:val="14"/>
              <w:szCs w:val="14"/>
              <w:lang w:val="en-US"/>
            </w:rPr>
            <w:t>4</w:t>
          </w:r>
          <w:r w:rsidRPr="0058508A">
            <w:rPr>
              <w:rFonts w:cs="Arial"/>
              <w:sz w:val="14"/>
              <w:szCs w:val="14"/>
              <w:lang w:val="en-US"/>
            </w:rPr>
            <w:t>, n. 1, Jan 202</w:t>
          </w:r>
          <w:r w:rsidR="0058508A" w:rsidRPr="0058508A">
            <w:rPr>
              <w:rFonts w:cs="Arial"/>
              <w:sz w:val="14"/>
              <w:szCs w:val="14"/>
              <w:lang w:val="en-US"/>
            </w:rPr>
            <w:t>5</w:t>
          </w:r>
        </w:p>
      </w:tc>
      <w:tc>
        <w:tcPr>
          <w:tcW w:w="5233" w:type="dxa"/>
        </w:tcPr>
        <w:p w14:paraId="4FD337CF" w14:textId="34B792B0" w:rsidR="0073372A" w:rsidRPr="00767A49" w:rsidRDefault="00767A49" w:rsidP="0073372A">
          <w:pPr>
            <w:pStyle w:val="Cabealho"/>
            <w:tabs>
              <w:tab w:val="clear" w:pos="4252"/>
              <w:tab w:val="clear" w:pos="8504"/>
            </w:tabs>
            <w:spacing w:line="360" w:lineRule="auto"/>
            <w:jc w:val="right"/>
            <w:rPr>
              <w:sz w:val="16"/>
              <w:szCs w:val="16"/>
              <w:lang w:val="en-US"/>
            </w:rPr>
          </w:pPr>
          <w:r w:rsidRPr="00767A49">
            <w:rPr>
              <w:sz w:val="16"/>
              <w:szCs w:val="16"/>
              <w:lang w:val="en-US"/>
            </w:rPr>
            <w:t>ISSN 2965-1190</w:t>
          </w:r>
        </w:p>
      </w:tc>
    </w:tr>
  </w:tbl>
  <w:p w14:paraId="33604EAD" w14:textId="5C6DFD1D" w:rsidR="009A5849" w:rsidRPr="009D437A" w:rsidRDefault="009A5849">
    <w:pPr>
      <w:pStyle w:val="Cabealho"/>
      <w:jc w:val="right"/>
      <w:rPr>
        <w:sz w:val="4"/>
        <w:szCs w:val="4"/>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48"/>
    </w:tblGrid>
    <w:tr w:rsidR="0073372A" w:rsidRPr="005672BC" w14:paraId="3CDF4222" w14:textId="77777777" w:rsidTr="00354929">
      <w:tc>
        <w:tcPr>
          <w:tcW w:w="1980" w:type="dxa"/>
        </w:tcPr>
        <w:p w14:paraId="7B79E4ED" w14:textId="6ABCA745" w:rsidR="0073372A" w:rsidRPr="00801423" w:rsidRDefault="00781753" w:rsidP="0073372A">
          <w:pPr>
            <w:pStyle w:val="Cabealho"/>
            <w:tabs>
              <w:tab w:val="clear" w:pos="4252"/>
              <w:tab w:val="clear" w:pos="8504"/>
            </w:tabs>
            <w:spacing w:line="360" w:lineRule="auto"/>
            <w:jc w:val="both"/>
            <w:rPr>
              <w:i/>
              <w:iCs/>
              <w:sz w:val="16"/>
              <w:szCs w:val="16"/>
            </w:rPr>
          </w:pPr>
          <w:proofErr w:type="spellStart"/>
          <w:r>
            <w:rPr>
              <w:sz w:val="16"/>
              <w:szCs w:val="16"/>
            </w:rPr>
            <w:t>Reinert</w:t>
          </w:r>
          <w:proofErr w:type="spellEnd"/>
          <w:r w:rsidR="001505C9">
            <w:rPr>
              <w:sz w:val="16"/>
              <w:szCs w:val="16"/>
            </w:rPr>
            <w:t xml:space="preserve"> et al.</w:t>
          </w:r>
          <w:r w:rsidR="004B0D4D">
            <w:rPr>
              <w:sz w:val="16"/>
              <w:szCs w:val="16"/>
            </w:rPr>
            <w:t xml:space="preserve"> </w:t>
          </w:r>
        </w:p>
      </w:tc>
      <w:tc>
        <w:tcPr>
          <w:tcW w:w="7648" w:type="dxa"/>
        </w:tcPr>
        <w:p w14:paraId="0E50627E" w14:textId="77777777" w:rsidR="0073372A" w:rsidRPr="005672BC" w:rsidRDefault="0073372A" w:rsidP="0073372A">
          <w:pPr>
            <w:pStyle w:val="Cabealho"/>
            <w:tabs>
              <w:tab w:val="clear" w:pos="4252"/>
              <w:tab w:val="clear" w:pos="8504"/>
            </w:tabs>
            <w:spacing w:line="360" w:lineRule="auto"/>
            <w:rPr>
              <w:i/>
              <w:iCs/>
              <w:sz w:val="16"/>
              <w:szCs w:val="16"/>
            </w:rPr>
          </w:pPr>
          <w:r w:rsidRPr="00801423">
            <w:rPr>
              <w:i/>
              <w:iCs/>
              <w:sz w:val="16"/>
              <w:szCs w:val="16"/>
            </w:rPr>
            <w:t>Food Science Today 1:1 (2023)</w:t>
          </w:r>
        </w:p>
      </w:tc>
    </w:tr>
  </w:tbl>
  <w:p w14:paraId="3312B66B" w14:textId="61A05D04" w:rsidR="009A5849" w:rsidRPr="0073372A" w:rsidRDefault="009A5849" w:rsidP="007337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12836"/>
    <w:multiLevelType w:val="multilevel"/>
    <w:tmpl w:val="CCC648A4"/>
    <w:lvl w:ilvl="0">
      <w:start w:val="3"/>
      <w:numFmt w:val="decimal"/>
      <w:lvlText w:val="%1."/>
      <w:lvlJc w:val="left"/>
      <w:pPr>
        <w:ind w:left="4679" w:hanging="360"/>
      </w:pPr>
      <w:rPr>
        <w:rFonts w:hint="default"/>
      </w:rPr>
    </w:lvl>
    <w:lvl w:ilvl="1">
      <w:start w:val="1"/>
      <w:numFmt w:val="decimal"/>
      <w:lvlText w:val="%1.%2."/>
      <w:lvlJc w:val="left"/>
      <w:pPr>
        <w:ind w:left="4679" w:hanging="360"/>
      </w:pPr>
      <w:rPr>
        <w:rFonts w:hint="default"/>
      </w:rPr>
    </w:lvl>
    <w:lvl w:ilvl="2">
      <w:start w:val="1"/>
      <w:numFmt w:val="decimal"/>
      <w:lvlText w:val="%1.%2.%3."/>
      <w:lvlJc w:val="left"/>
      <w:pPr>
        <w:ind w:left="5039" w:hanging="720"/>
      </w:pPr>
      <w:rPr>
        <w:rFonts w:hint="default"/>
      </w:rPr>
    </w:lvl>
    <w:lvl w:ilvl="3">
      <w:start w:val="1"/>
      <w:numFmt w:val="decimal"/>
      <w:lvlText w:val="%1.%2.%3.%4."/>
      <w:lvlJc w:val="left"/>
      <w:pPr>
        <w:ind w:left="5039" w:hanging="720"/>
      </w:pPr>
      <w:rPr>
        <w:rFonts w:hint="default"/>
      </w:rPr>
    </w:lvl>
    <w:lvl w:ilvl="4">
      <w:start w:val="1"/>
      <w:numFmt w:val="decimal"/>
      <w:lvlText w:val="%1.%2.%3.%4.%5."/>
      <w:lvlJc w:val="left"/>
      <w:pPr>
        <w:ind w:left="5399" w:hanging="1080"/>
      </w:pPr>
      <w:rPr>
        <w:rFonts w:hint="default"/>
      </w:rPr>
    </w:lvl>
    <w:lvl w:ilvl="5">
      <w:start w:val="1"/>
      <w:numFmt w:val="decimal"/>
      <w:lvlText w:val="%1.%2.%3.%4.%5.%6."/>
      <w:lvlJc w:val="left"/>
      <w:pPr>
        <w:ind w:left="5399" w:hanging="1080"/>
      </w:pPr>
      <w:rPr>
        <w:rFonts w:hint="default"/>
      </w:rPr>
    </w:lvl>
    <w:lvl w:ilvl="6">
      <w:start w:val="1"/>
      <w:numFmt w:val="decimal"/>
      <w:lvlText w:val="%1.%2.%3.%4.%5.%6.%7."/>
      <w:lvlJc w:val="left"/>
      <w:pPr>
        <w:ind w:left="5759" w:hanging="1440"/>
      </w:pPr>
      <w:rPr>
        <w:rFonts w:hint="default"/>
      </w:rPr>
    </w:lvl>
    <w:lvl w:ilvl="7">
      <w:start w:val="1"/>
      <w:numFmt w:val="decimal"/>
      <w:lvlText w:val="%1.%2.%3.%4.%5.%6.%7.%8."/>
      <w:lvlJc w:val="left"/>
      <w:pPr>
        <w:ind w:left="5759" w:hanging="1440"/>
      </w:pPr>
      <w:rPr>
        <w:rFonts w:hint="default"/>
      </w:rPr>
    </w:lvl>
    <w:lvl w:ilvl="8">
      <w:start w:val="1"/>
      <w:numFmt w:val="decimal"/>
      <w:lvlText w:val="%1.%2.%3.%4.%5.%6.%7.%8.%9."/>
      <w:lvlJc w:val="left"/>
      <w:pPr>
        <w:ind w:left="6119" w:hanging="1800"/>
      </w:pPr>
      <w:rPr>
        <w:rFonts w:hint="default"/>
      </w:rPr>
    </w:lvl>
  </w:abstractNum>
  <w:abstractNum w:abstractNumId="1" w15:restartNumberingAfterBreak="0">
    <w:nsid w:val="3EA3307B"/>
    <w:multiLevelType w:val="hybridMultilevel"/>
    <w:tmpl w:val="F738D4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0710DFC"/>
    <w:multiLevelType w:val="hybridMultilevel"/>
    <w:tmpl w:val="CBDC748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E5967EF"/>
    <w:multiLevelType w:val="multilevel"/>
    <w:tmpl w:val="89E0F664"/>
    <w:lvl w:ilvl="0">
      <w:start w:val="3"/>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87076489">
    <w:abstractNumId w:val="3"/>
  </w:num>
  <w:num w:numId="2" w16cid:durableId="1881167482">
    <w:abstractNumId w:val="1"/>
  </w:num>
  <w:num w:numId="3" w16cid:durableId="1666976227">
    <w:abstractNumId w:val="0"/>
  </w:num>
  <w:num w:numId="4" w16cid:durableId="2140026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yMjE1tjA3NDYyNDJV0lEKTi0uzszPAykwNK8FAKCE72MtAAAA"/>
  </w:docVars>
  <w:rsids>
    <w:rsidRoot w:val="005F3E98"/>
    <w:rsid w:val="000044F6"/>
    <w:rsid w:val="00011670"/>
    <w:rsid w:val="00016683"/>
    <w:rsid w:val="00035873"/>
    <w:rsid w:val="0005691A"/>
    <w:rsid w:val="00072A62"/>
    <w:rsid w:val="00092694"/>
    <w:rsid w:val="000934BC"/>
    <w:rsid w:val="000951F9"/>
    <w:rsid w:val="000970D2"/>
    <w:rsid w:val="000A3056"/>
    <w:rsid w:val="000A36C2"/>
    <w:rsid w:val="000B3548"/>
    <w:rsid w:val="000B7E8E"/>
    <w:rsid w:val="000B7E90"/>
    <w:rsid w:val="000C6933"/>
    <w:rsid w:val="000D2C33"/>
    <w:rsid w:val="000D706F"/>
    <w:rsid w:val="000E7FA3"/>
    <w:rsid w:val="000F13F2"/>
    <w:rsid w:val="000F1715"/>
    <w:rsid w:val="001102B5"/>
    <w:rsid w:val="00111168"/>
    <w:rsid w:val="00123D0E"/>
    <w:rsid w:val="00134075"/>
    <w:rsid w:val="001505C9"/>
    <w:rsid w:val="0018292D"/>
    <w:rsid w:val="00197F3C"/>
    <w:rsid w:val="001A38CA"/>
    <w:rsid w:val="001B1CF8"/>
    <w:rsid w:val="001B3154"/>
    <w:rsid w:val="001C1442"/>
    <w:rsid w:val="001C2B57"/>
    <w:rsid w:val="001E33F0"/>
    <w:rsid w:val="00205E9A"/>
    <w:rsid w:val="0023363A"/>
    <w:rsid w:val="00257039"/>
    <w:rsid w:val="002910AA"/>
    <w:rsid w:val="002D7FAD"/>
    <w:rsid w:val="002E2827"/>
    <w:rsid w:val="002E687F"/>
    <w:rsid w:val="002E6AC5"/>
    <w:rsid w:val="003049F1"/>
    <w:rsid w:val="003143E2"/>
    <w:rsid w:val="0032264C"/>
    <w:rsid w:val="00357C31"/>
    <w:rsid w:val="0036778B"/>
    <w:rsid w:val="0037185C"/>
    <w:rsid w:val="00372D09"/>
    <w:rsid w:val="00374FC4"/>
    <w:rsid w:val="00382FE5"/>
    <w:rsid w:val="00385FF7"/>
    <w:rsid w:val="00387F9C"/>
    <w:rsid w:val="00393E9E"/>
    <w:rsid w:val="003B5333"/>
    <w:rsid w:val="003D64A7"/>
    <w:rsid w:val="003D78A9"/>
    <w:rsid w:val="003E22FB"/>
    <w:rsid w:val="003E3ACC"/>
    <w:rsid w:val="003F6926"/>
    <w:rsid w:val="00400062"/>
    <w:rsid w:val="00411817"/>
    <w:rsid w:val="004158C5"/>
    <w:rsid w:val="004229F7"/>
    <w:rsid w:val="00422D98"/>
    <w:rsid w:val="0043635A"/>
    <w:rsid w:val="0043768F"/>
    <w:rsid w:val="00453958"/>
    <w:rsid w:val="004709DB"/>
    <w:rsid w:val="00474161"/>
    <w:rsid w:val="004843CE"/>
    <w:rsid w:val="004A7B9A"/>
    <w:rsid w:val="004B0D4D"/>
    <w:rsid w:val="004B21F0"/>
    <w:rsid w:val="004E4A57"/>
    <w:rsid w:val="004E6810"/>
    <w:rsid w:val="004E7EB9"/>
    <w:rsid w:val="004F1DD1"/>
    <w:rsid w:val="00502C73"/>
    <w:rsid w:val="00506B24"/>
    <w:rsid w:val="005117D4"/>
    <w:rsid w:val="00541A67"/>
    <w:rsid w:val="005444E1"/>
    <w:rsid w:val="00556B0C"/>
    <w:rsid w:val="0056295C"/>
    <w:rsid w:val="005672BC"/>
    <w:rsid w:val="00570A91"/>
    <w:rsid w:val="005770A7"/>
    <w:rsid w:val="0058508A"/>
    <w:rsid w:val="005A70A4"/>
    <w:rsid w:val="005B3B63"/>
    <w:rsid w:val="005B6EF1"/>
    <w:rsid w:val="005C3FDF"/>
    <w:rsid w:val="005C61F3"/>
    <w:rsid w:val="005D654F"/>
    <w:rsid w:val="005F2D57"/>
    <w:rsid w:val="005F3E98"/>
    <w:rsid w:val="0061412B"/>
    <w:rsid w:val="00634105"/>
    <w:rsid w:val="006345DD"/>
    <w:rsid w:val="006355DB"/>
    <w:rsid w:val="006542EE"/>
    <w:rsid w:val="006635BB"/>
    <w:rsid w:val="00664B3E"/>
    <w:rsid w:val="00665F42"/>
    <w:rsid w:val="00674A9F"/>
    <w:rsid w:val="006808C9"/>
    <w:rsid w:val="00681C09"/>
    <w:rsid w:val="006915AD"/>
    <w:rsid w:val="006940A5"/>
    <w:rsid w:val="006A07C2"/>
    <w:rsid w:val="006A1B56"/>
    <w:rsid w:val="006A6C9E"/>
    <w:rsid w:val="006B49E1"/>
    <w:rsid w:val="006D1182"/>
    <w:rsid w:val="0071435B"/>
    <w:rsid w:val="0073372A"/>
    <w:rsid w:val="007377BC"/>
    <w:rsid w:val="00744553"/>
    <w:rsid w:val="007614E1"/>
    <w:rsid w:val="007649FD"/>
    <w:rsid w:val="0076535A"/>
    <w:rsid w:val="00767A49"/>
    <w:rsid w:val="00781753"/>
    <w:rsid w:val="007B3EC2"/>
    <w:rsid w:val="007C4841"/>
    <w:rsid w:val="007D5E1B"/>
    <w:rsid w:val="007E240A"/>
    <w:rsid w:val="00847426"/>
    <w:rsid w:val="0088770F"/>
    <w:rsid w:val="00896C9E"/>
    <w:rsid w:val="008A0C1A"/>
    <w:rsid w:val="008A355B"/>
    <w:rsid w:val="008D1767"/>
    <w:rsid w:val="008D2E13"/>
    <w:rsid w:val="008E0867"/>
    <w:rsid w:val="008F7BDD"/>
    <w:rsid w:val="00906827"/>
    <w:rsid w:val="009237DC"/>
    <w:rsid w:val="00944972"/>
    <w:rsid w:val="00945740"/>
    <w:rsid w:val="00945DD8"/>
    <w:rsid w:val="0096161E"/>
    <w:rsid w:val="00987B44"/>
    <w:rsid w:val="00990EBA"/>
    <w:rsid w:val="009A366F"/>
    <w:rsid w:val="009A5849"/>
    <w:rsid w:val="009A7382"/>
    <w:rsid w:val="009B6D58"/>
    <w:rsid w:val="009C2560"/>
    <w:rsid w:val="009D437A"/>
    <w:rsid w:val="009E37BC"/>
    <w:rsid w:val="00A158F0"/>
    <w:rsid w:val="00A21077"/>
    <w:rsid w:val="00A27C6E"/>
    <w:rsid w:val="00A33DF9"/>
    <w:rsid w:val="00A622E3"/>
    <w:rsid w:val="00A86D54"/>
    <w:rsid w:val="00AA0B9D"/>
    <w:rsid w:val="00B0037A"/>
    <w:rsid w:val="00B03CBB"/>
    <w:rsid w:val="00B03F18"/>
    <w:rsid w:val="00B1187A"/>
    <w:rsid w:val="00B248E4"/>
    <w:rsid w:val="00B30E96"/>
    <w:rsid w:val="00B32183"/>
    <w:rsid w:val="00B439FB"/>
    <w:rsid w:val="00B45E8D"/>
    <w:rsid w:val="00B741A4"/>
    <w:rsid w:val="00B776CA"/>
    <w:rsid w:val="00B814FB"/>
    <w:rsid w:val="00B93BC2"/>
    <w:rsid w:val="00BB4EF3"/>
    <w:rsid w:val="00BD0D46"/>
    <w:rsid w:val="00BE1238"/>
    <w:rsid w:val="00BE1D23"/>
    <w:rsid w:val="00BE55E0"/>
    <w:rsid w:val="00BF1661"/>
    <w:rsid w:val="00C00A06"/>
    <w:rsid w:val="00C14327"/>
    <w:rsid w:val="00C14F72"/>
    <w:rsid w:val="00C24D9A"/>
    <w:rsid w:val="00C35124"/>
    <w:rsid w:val="00C3656B"/>
    <w:rsid w:val="00C416CC"/>
    <w:rsid w:val="00C457C1"/>
    <w:rsid w:val="00C6120E"/>
    <w:rsid w:val="00C74C1D"/>
    <w:rsid w:val="00C76BEF"/>
    <w:rsid w:val="00C77CFF"/>
    <w:rsid w:val="00C92A97"/>
    <w:rsid w:val="00C95CFA"/>
    <w:rsid w:val="00CB63DB"/>
    <w:rsid w:val="00CC1A8E"/>
    <w:rsid w:val="00CC1B74"/>
    <w:rsid w:val="00CC219C"/>
    <w:rsid w:val="00CE51DE"/>
    <w:rsid w:val="00D00DCC"/>
    <w:rsid w:val="00D0168A"/>
    <w:rsid w:val="00D31376"/>
    <w:rsid w:val="00D335D2"/>
    <w:rsid w:val="00D43E9F"/>
    <w:rsid w:val="00D4512E"/>
    <w:rsid w:val="00D4682C"/>
    <w:rsid w:val="00D74B1D"/>
    <w:rsid w:val="00D8661B"/>
    <w:rsid w:val="00D9118B"/>
    <w:rsid w:val="00DE3380"/>
    <w:rsid w:val="00DF07A2"/>
    <w:rsid w:val="00DF0A37"/>
    <w:rsid w:val="00DF4240"/>
    <w:rsid w:val="00E04E5A"/>
    <w:rsid w:val="00E43066"/>
    <w:rsid w:val="00E46F14"/>
    <w:rsid w:val="00E76E88"/>
    <w:rsid w:val="00EA36FC"/>
    <w:rsid w:val="00EA6882"/>
    <w:rsid w:val="00EB496F"/>
    <w:rsid w:val="00EB5A82"/>
    <w:rsid w:val="00EB6EAA"/>
    <w:rsid w:val="00EB771C"/>
    <w:rsid w:val="00EC150F"/>
    <w:rsid w:val="00EC221F"/>
    <w:rsid w:val="00ED016B"/>
    <w:rsid w:val="00EE065C"/>
    <w:rsid w:val="00F02278"/>
    <w:rsid w:val="00F109A3"/>
    <w:rsid w:val="00F26E5C"/>
    <w:rsid w:val="00F37720"/>
    <w:rsid w:val="00F44F60"/>
    <w:rsid w:val="00F46533"/>
    <w:rsid w:val="00F5652A"/>
    <w:rsid w:val="00F91117"/>
    <w:rsid w:val="00FA1006"/>
    <w:rsid w:val="00FC6FF1"/>
    <w:rsid w:val="00FD22A0"/>
    <w:rsid w:val="00FD36C9"/>
    <w:rsid w:val="00FD3C81"/>
    <w:rsid w:val="00FE640E"/>
    <w:rsid w:val="00FE7C92"/>
    <w:rsid w:val="00FF3D20"/>
    <w:rsid w:val="00FF5C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CB31D8"/>
  <w15:chartTrackingRefBased/>
  <w15:docId w15:val="{A3FEA475-D53F-4419-BCFC-C83513D1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E33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0166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26E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26E5C"/>
  </w:style>
  <w:style w:type="paragraph" w:styleId="Rodap">
    <w:name w:val="footer"/>
    <w:basedOn w:val="Normal"/>
    <w:link w:val="RodapChar"/>
    <w:uiPriority w:val="99"/>
    <w:unhideWhenUsed/>
    <w:rsid w:val="00F26E5C"/>
    <w:pPr>
      <w:tabs>
        <w:tab w:val="center" w:pos="4252"/>
        <w:tab w:val="right" w:pos="8504"/>
      </w:tabs>
      <w:spacing w:after="0" w:line="240" w:lineRule="auto"/>
    </w:pPr>
  </w:style>
  <w:style w:type="character" w:customStyle="1" w:styleId="RodapChar">
    <w:name w:val="Rodapé Char"/>
    <w:basedOn w:val="Fontepargpadro"/>
    <w:link w:val="Rodap"/>
    <w:uiPriority w:val="99"/>
    <w:rsid w:val="00F26E5C"/>
  </w:style>
  <w:style w:type="character" w:styleId="Hyperlink">
    <w:name w:val="Hyperlink"/>
    <w:basedOn w:val="Fontepargpadro"/>
    <w:uiPriority w:val="99"/>
    <w:unhideWhenUsed/>
    <w:rsid w:val="00F26E5C"/>
    <w:rPr>
      <w:color w:val="0563C1" w:themeColor="hyperlink"/>
      <w:u w:val="single"/>
    </w:rPr>
  </w:style>
  <w:style w:type="character" w:styleId="MenoPendente">
    <w:name w:val="Unresolved Mention"/>
    <w:basedOn w:val="Fontepargpadro"/>
    <w:uiPriority w:val="99"/>
    <w:semiHidden/>
    <w:unhideWhenUsed/>
    <w:rsid w:val="00F26E5C"/>
    <w:rPr>
      <w:color w:val="605E5C"/>
      <w:shd w:val="clear" w:color="auto" w:fill="E1DFDD"/>
    </w:rPr>
  </w:style>
  <w:style w:type="table" w:styleId="Tabelacomgrade">
    <w:name w:val="Table Grid"/>
    <w:basedOn w:val="Tabelanormal"/>
    <w:uiPriority w:val="39"/>
    <w:rsid w:val="00F2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1B3154"/>
    <w:pPr>
      <w:spacing w:after="0" w:line="240" w:lineRule="auto"/>
      <w:ind w:left="720"/>
      <w:contextualSpacing/>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1B3154"/>
    <w:rPr>
      <w:i/>
      <w:iCs/>
    </w:rPr>
  </w:style>
  <w:style w:type="paragraph" w:styleId="NormalWeb">
    <w:name w:val="Normal (Web)"/>
    <w:basedOn w:val="Normal"/>
    <w:uiPriority w:val="99"/>
    <w:unhideWhenUsed/>
    <w:rsid w:val="001B31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abel9">
    <w:name w:val="label9"/>
    <w:basedOn w:val="Fontepargpadro"/>
    <w:rsid w:val="001B3154"/>
  </w:style>
  <w:style w:type="paragraph" w:customStyle="1" w:styleId="ListaColorida-nfase11">
    <w:name w:val="Lista Colorida - Ênfase 11"/>
    <w:basedOn w:val="Normal"/>
    <w:uiPriority w:val="34"/>
    <w:qFormat/>
    <w:rsid w:val="001B3154"/>
    <w:pPr>
      <w:spacing w:after="0" w:line="240" w:lineRule="auto"/>
      <w:ind w:left="720"/>
      <w:contextualSpacing/>
    </w:pPr>
    <w:rPr>
      <w:rFonts w:ascii="Times New Roman" w:eastAsia="Times New Roman" w:hAnsi="Times New Roman" w:cs="Times New Roman"/>
      <w:sz w:val="24"/>
      <w:szCs w:val="24"/>
      <w:lang w:eastAsia="pt-BR"/>
    </w:rPr>
  </w:style>
  <w:style w:type="paragraph" w:styleId="Legenda">
    <w:name w:val="caption"/>
    <w:basedOn w:val="Normal"/>
    <w:next w:val="Normal"/>
    <w:autoRedefine/>
    <w:uiPriority w:val="35"/>
    <w:unhideWhenUsed/>
    <w:qFormat/>
    <w:rsid w:val="0056295C"/>
    <w:pPr>
      <w:spacing w:after="0" w:line="240" w:lineRule="auto"/>
      <w:jc w:val="both"/>
    </w:pPr>
    <w:rPr>
      <w:rFonts w:ascii="Helvetica" w:hAnsi="Helvetica"/>
      <w:iCs/>
      <w:color w:val="000000" w:themeColor="text1"/>
      <w:sz w:val="18"/>
      <w:szCs w:val="18"/>
      <w:lang w:val="en-US"/>
    </w:rPr>
  </w:style>
  <w:style w:type="character" w:customStyle="1" w:styleId="Ttulo1Char">
    <w:name w:val="Título 1 Char"/>
    <w:basedOn w:val="Fontepargpadro"/>
    <w:link w:val="Ttulo1"/>
    <w:uiPriority w:val="9"/>
    <w:rsid w:val="00DE3380"/>
    <w:rPr>
      <w:rFonts w:asciiTheme="majorHAnsi" w:eastAsiaTheme="majorEastAsia" w:hAnsiTheme="majorHAnsi" w:cstheme="majorBidi"/>
      <w:color w:val="2F5496" w:themeColor="accent1" w:themeShade="BF"/>
      <w:sz w:val="32"/>
      <w:szCs w:val="32"/>
    </w:rPr>
  </w:style>
  <w:style w:type="table" w:styleId="SimplesTabela2">
    <w:name w:val="Plain Table 2"/>
    <w:basedOn w:val="Tabelanormal"/>
    <w:uiPriority w:val="42"/>
    <w:rsid w:val="00D00DCC"/>
    <w:pPr>
      <w:spacing w:after="0" w:line="240" w:lineRule="auto"/>
    </w:pPr>
    <w:rPr>
      <w:rFonts w:ascii="Times New Roman" w:hAnsi="Times New Roman" w:cs="Times New Roman"/>
      <w:sz w:val="24"/>
      <w:szCs w:val="24"/>
      <w:lang w:val="e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tulo2Char">
    <w:name w:val="Título 2 Char"/>
    <w:basedOn w:val="Fontepargpadro"/>
    <w:link w:val="Ttulo2"/>
    <w:uiPriority w:val="9"/>
    <w:semiHidden/>
    <w:rsid w:val="00016683"/>
    <w:rPr>
      <w:rFonts w:asciiTheme="majorHAnsi" w:eastAsiaTheme="majorEastAsia" w:hAnsiTheme="majorHAnsi" w:cstheme="majorBidi"/>
      <w:color w:val="2F5496" w:themeColor="accent1" w:themeShade="BF"/>
      <w:sz w:val="26"/>
      <w:szCs w:val="26"/>
    </w:rPr>
  </w:style>
  <w:style w:type="character" w:styleId="Nmerodelinha">
    <w:name w:val="line number"/>
    <w:basedOn w:val="Fontepargpadro"/>
    <w:uiPriority w:val="99"/>
    <w:semiHidden/>
    <w:unhideWhenUsed/>
    <w:rsid w:val="0056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royaldataset.com/fst" TargetMode="External"/><Relationship Id="rId13" Type="http://schemas.openxmlformats.org/officeDocument/2006/relationships/hyperlink" Target="https://journals.royaldataset.com/fs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3442-3525"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sv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urnals.royaldataset.com/fs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hyperlink" Target="https://www.royaldataset.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40619-70B1-4BE6-BD58-866230D65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534</Words>
  <Characters>2887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Gerson Teixeira</dc:creator>
  <cp:keywords/>
  <dc:description/>
  <cp:lastModifiedBy>Gerson Teixeira</cp:lastModifiedBy>
  <cp:revision>63</cp:revision>
  <cp:lastPrinted>2023-02-20T20:02:00Z</cp:lastPrinted>
  <dcterms:created xsi:type="dcterms:W3CDTF">2023-01-24T22:30:00Z</dcterms:created>
  <dcterms:modified xsi:type="dcterms:W3CDTF">2025-01-28T20:24:00Z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2024-01-07T19:29:29Z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1ecc1eae-171a-4539-af22-ff18c98b81bd</vt:lpwstr>
  </property>
  <property fmtid="{D5CDD505-2E9C-101B-9397-08002B2CF9AE}" pid="7" name="MSIP_Label_defa4170-0d19-0005-0004-bc88714345d2_ActionId">
    <vt:lpwstr>ad28f389-0ef4-4837-9fa6-032056825fe8</vt:lpwstr>
  </property>
  <property fmtid="{D5CDD505-2E9C-101B-9397-08002B2CF9AE}" pid="8" name="MSIP_Label_defa4170-0d19-0005-0004-bc88714345d2_ContentBits">
    <vt:lpwstr>0</vt:lpwstr>
  </property>
</Properties>
</file>